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64C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100" w:afterAutospacing="0" w:line="240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i w:val="0"/>
          <w:caps w:val="0"/>
          <w:color w:val="auto"/>
          <w:spacing w:val="0"/>
          <w:sz w:val="26"/>
          <w:szCs w:val="26"/>
          <w:vertAlign w:val="baseline"/>
        </w:rPr>
        <w:t>ДОКЛАД</w:t>
      </w:r>
    </w:p>
    <w:p w14:paraId="75498E8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lang w:val="ru-RU"/>
        </w:rPr>
      </w:pP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>о систем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>е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 xml:space="preserve"> внутреннего обеспечения соответствия требованиям антимонопольного законодательства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 xml:space="preserve"> (антимонопольном комплаенсе)              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 xml:space="preserve"> в администрации </w:t>
      </w:r>
      <w:r>
        <w:rPr>
          <w:rFonts w:hint="default" w:ascii="Times New Roman" w:hAnsi="Times New Roman" w:eastAsia="Times New Roman" w:cs="Times New Roman"/>
          <w:b/>
          <w:i w:val="0"/>
          <w:caps w:val="0"/>
          <w:color w:val="auto"/>
          <w:spacing w:val="0"/>
          <w:sz w:val="26"/>
          <w:szCs w:val="26"/>
          <w:vertAlign w:val="baseline"/>
        </w:rPr>
        <w:t xml:space="preserve">Богородского муниципального </w:t>
      </w:r>
      <w:r>
        <w:rPr>
          <w:rFonts w:hint="default" w:ascii="Times New Roman" w:hAnsi="Times New Roman" w:eastAsia="Times New Roman" w:cs="Times New Roman"/>
          <w:b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b/>
          <w:i w:val="0"/>
          <w:caps w:val="0"/>
          <w:color w:val="auto"/>
          <w:spacing w:val="0"/>
          <w:sz w:val="26"/>
          <w:szCs w:val="26"/>
          <w:vertAlign w:val="baseline"/>
        </w:rPr>
        <w:t xml:space="preserve"> Нижегородско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 xml:space="preserve">й области 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>в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> 202</w:t>
      </w:r>
      <w:r>
        <w:rPr>
          <w:rStyle w:val="5"/>
          <w:rFonts w:hint="default" w:cs="Times New Roman"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>5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</w:rPr>
        <w:t> год</w:t>
      </w:r>
      <w:r>
        <w:rPr>
          <w:rStyle w:val="5"/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6"/>
          <w:szCs w:val="26"/>
          <w:vertAlign w:val="baseline"/>
          <w:lang w:val="ru-RU"/>
        </w:rPr>
        <w:t>у</w:t>
      </w:r>
    </w:p>
    <w:p w14:paraId="4B6B2A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 w:right="0" w:firstLine="840" w:firstLineChars="350"/>
        <w:jc w:val="both"/>
        <w:textAlignment w:val="baseline"/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"/>
        </w:rPr>
        <w:t xml:space="preserve">I. Общие сведения о функционировании антимонопольного комплаенса в </w:t>
      </w:r>
      <w:r>
        <w:rPr>
          <w:rFonts w:hint="default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val="ru-RU" w:eastAsia="zh-CN" w:bidi="ar"/>
        </w:rPr>
        <w:t>администрации Богородского муниципального округа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val="en-US" w:eastAsia="zh-CN" w:bidi="ar"/>
        </w:rPr>
        <w:t xml:space="preserve"> Нижегородской области</w:t>
      </w:r>
      <w:r>
        <w:rPr>
          <w:rFonts w:hint="default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vertAlign w:val="baseline"/>
          <w:lang w:val="ru-RU" w:eastAsia="zh-CN" w:bidi="ar"/>
        </w:rPr>
        <w:t>.</w:t>
      </w:r>
    </w:p>
    <w:p w14:paraId="2151F3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60" w:lineRule="auto"/>
        <w:ind w:left="0" w:leftChars="0" w:right="0" w:firstLine="840" w:firstLineChars="350"/>
        <w:jc w:val="both"/>
        <w:textAlignment w:val="baseline"/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Во исполнение Указа Президента Российской Федерации от 21 декабря 2017 года № 618 «Об основных направлениях государственной политики по развитию конкуренции», в соответствии с распоряжением Правительства Российской Федерации от 18.10.2018 № 2258-р «Об утверждении рекомендаций по созданию и 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постановлением администрации Богородского муниципального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от 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01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.0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2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.20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21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№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128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создана система внутреннего обеспечения соответствия требованиям антимонопольного законодательства (далее — антимонопольный комплаенс)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в администрации Богородского муниципального округа Нижегородской области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(далее - администрации округа)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.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Постановлением от 30.12.2022 № 5081 внесены изменения в положение об организации антимонопольного комплаенса в администрации Богородского муниципального округа.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    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П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остановлением утверждено Положение об организации в администрации 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округа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системы антимонопольного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комплаенса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(далее — Положение)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, которое не распространяется на подразделения имеющие статус юридического лица. </w:t>
      </w:r>
      <w:r>
        <w:rPr>
          <w:rFonts w:hint="default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Согласно постановления, о</w:t>
      </w:r>
      <w:r>
        <w:rPr>
          <w:color w:val="auto"/>
          <w:sz w:val="24"/>
          <w:szCs w:val="24"/>
        </w:rPr>
        <w:t>траслевы</w:t>
      </w:r>
      <w:r>
        <w:rPr>
          <w:color w:val="auto"/>
          <w:sz w:val="24"/>
          <w:szCs w:val="24"/>
          <w:lang w:val="ru-RU"/>
        </w:rPr>
        <w:t>е</w:t>
      </w:r>
      <w:r>
        <w:rPr>
          <w:color w:val="auto"/>
          <w:sz w:val="24"/>
          <w:szCs w:val="24"/>
        </w:rPr>
        <w:t xml:space="preserve"> (функциональны</w:t>
      </w:r>
      <w:r>
        <w:rPr>
          <w:color w:val="auto"/>
          <w:sz w:val="24"/>
          <w:szCs w:val="24"/>
          <w:lang w:val="ru-RU"/>
        </w:rPr>
        <w:t>е</w:t>
      </w:r>
      <w:r>
        <w:rPr>
          <w:color w:val="auto"/>
          <w:sz w:val="24"/>
          <w:szCs w:val="24"/>
        </w:rPr>
        <w:t>) орган</w:t>
      </w:r>
      <w:r>
        <w:rPr>
          <w:color w:val="auto"/>
          <w:sz w:val="24"/>
          <w:szCs w:val="24"/>
          <w:lang w:val="ru-RU"/>
        </w:rPr>
        <w:t>ы</w:t>
      </w:r>
      <w:r>
        <w:rPr>
          <w:color w:val="auto"/>
          <w:sz w:val="24"/>
          <w:szCs w:val="24"/>
        </w:rPr>
        <w:t xml:space="preserve"> администрации Богородского муниципального округа Нижегородской области, наделенны</w:t>
      </w:r>
      <w:r>
        <w:rPr>
          <w:color w:val="auto"/>
          <w:sz w:val="24"/>
          <w:szCs w:val="24"/>
          <w:lang w:val="ru-RU"/>
        </w:rPr>
        <w:t>е</w:t>
      </w:r>
      <w:r>
        <w:rPr>
          <w:color w:val="auto"/>
          <w:sz w:val="24"/>
          <w:szCs w:val="24"/>
        </w:rPr>
        <w:t xml:space="preserve"> правами юридического лица</w:t>
      </w:r>
      <w:r>
        <w:rPr>
          <w:rFonts w:hint="default"/>
          <w:color w:val="auto"/>
          <w:sz w:val="24"/>
          <w:szCs w:val="24"/>
          <w:lang w:val="ru-RU"/>
        </w:rPr>
        <w:t>,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ru-RU"/>
        </w:rPr>
        <w:t>самостоятельно</w:t>
      </w:r>
      <w:r>
        <w:rPr>
          <w:rFonts w:hint="default"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создают</w:t>
      </w:r>
      <w:r>
        <w:rPr>
          <w:rFonts w:hint="default"/>
          <w:color w:val="auto"/>
          <w:sz w:val="24"/>
          <w:szCs w:val="24"/>
          <w:lang w:val="ru-RU"/>
        </w:rPr>
        <w:t xml:space="preserve"> и организуют </w:t>
      </w:r>
      <w:r>
        <w:rPr>
          <w:color w:val="auto"/>
          <w:sz w:val="24"/>
          <w:szCs w:val="24"/>
        </w:rPr>
        <w:t>систему внутреннего обеспечения соответствия требованиям антимонопольного законодательства.</w:t>
      </w:r>
    </w:p>
    <w:p w14:paraId="01FBE4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/>
          <w:color w:val="auto"/>
          <w:lang w:val="ru-RU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В соответствии с Положением функции уполномоченного подразделения, связанные с организацией и функционированием антимонопольного комплаенса, распределены между</w:t>
      </w:r>
      <w:r>
        <w:rPr>
          <w:color w:val="auto"/>
        </w:rPr>
        <w:t xml:space="preserve"> правов</w:t>
      </w:r>
      <w:r>
        <w:rPr>
          <w:color w:val="auto"/>
          <w:lang w:val="ru-RU"/>
        </w:rPr>
        <w:t>ым</w:t>
      </w:r>
      <w:r>
        <w:rPr>
          <w:color w:val="auto"/>
        </w:rPr>
        <w:t xml:space="preserve"> управлением</w:t>
      </w:r>
      <w:r>
        <w:rPr>
          <w:rFonts w:hint="default"/>
          <w:color w:val="auto"/>
          <w:lang w:val="ru-RU"/>
        </w:rPr>
        <w:t>,</w:t>
      </w:r>
      <w:r>
        <w:rPr>
          <w:color w:val="auto"/>
          <w:lang w:eastAsia="zh-CN" w:bidi="ar"/>
        </w:rPr>
        <w:t xml:space="preserve"> </w:t>
      </w:r>
      <w:r>
        <w:rPr>
          <w:color w:val="auto"/>
          <w:lang w:val="ru-RU" w:eastAsia="zh-CN" w:bidi="ar"/>
        </w:rPr>
        <w:t>отделом</w:t>
      </w:r>
      <w:r>
        <w:rPr>
          <w:color w:val="auto"/>
          <w:lang w:eastAsia="zh-CN" w:bidi="ar"/>
        </w:rPr>
        <w:t xml:space="preserve"> кадров</w:t>
      </w:r>
      <w:r>
        <w:rPr>
          <w:rFonts w:hint="default"/>
          <w:color w:val="auto"/>
          <w:lang w:val="ru-RU" w:eastAsia="zh-CN" w:bidi="ar"/>
        </w:rPr>
        <w:t>,</w:t>
      </w:r>
      <w:r>
        <w:rPr>
          <w:color w:val="auto"/>
          <w:lang w:eastAsia="zh-CN" w:bidi="ar"/>
        </w:rPr>
        <w:t xml:space="preserve"> </w:t>
      </w:r>
      <w:r>
        <w:rPr>
          <w:color w:val="auto"/>
        </w:rPr>
        <w:t>отдел</w:t>
      </w:r>
      <w:r>
        <w:rPr>
          <w:color w:val="auto"/>
          <w:lang w:val="ru-RU"/>
        </w:rPr>
        <w:t>ом</w:t>
      </w:r>
      <w:r>
        <w:rPr>
          <w:color w:val="auto"/>
        </w:rPr>
        <w:t xml:space="preserve"> муниципальных закупок</w:t>
      </w:r>
      <w:r>
        <w:rPr>
          <w:rFonts w:hint="default"/>
          <w:color w:val="auto"/>
          <w:lang w:val="ru-RU"/>
        </w:rPr>
        <w:t xml:space="preserve"> и</w:t>
      </w:r>
      <w:r>
        <w:rPr>
          <w:color w:val="auto"/>
          <w:lang w:eastAsia="zh-CN" w:bidi="ar"/>
        </w:rPr>
        <w:t xml:space="preserve"> экономически</w:t>
      </w:r>
      <w:r>
        <w:rPr>
          <w:color w:val="auto"/>
          <w:lang w:val="ru-RU" w:eastAsia="zh-CN" w:bidi="ar"/>
        </w:rPr>
        <w:t>м</w:t>
      </w:r>
      <w:r>
        <w:rPr>
          <w:color w:val="auto"/>
          <w:lang w:eastAsia="zh-CN" w:bidi="ar"/>
        </w:rPr>
        <w:t xml:space="preserve"> отдел</w:t>
      </w:r>
      <w:r>
        <w:rPr>
          <w:color w:val="auto"/>
          <w:lang w:val="ru-RU" w:eastAsia="zh-CN" w:bidi="ar"/>
        </w:rPr>
        <w:t>ом</w:t>
      </w:r>
      <w:r>
        <w:rPr>
          <w:color w:val="auto"/>
          <w:lang w:eastAsia="zh-CN" w:bidi="ar"/>
        </w:rPr>
        <w:t xml:space="preserve"> </w:t>
      </w:r>
      <w:r>
        <w:rPr>
          <w:color w:val="auto"/>
          <w:lang w:val="ru-RU" w:eastAsia="zh-CN" w:bidi="ar"/>
        </w:rPr>
        <w:t>управления</w:t>
      </w:r>
      <w:r>
        <w:rPr>
          <w:rFonts w:hint="default"/>
          <w:color w:val="auto"/>
          <w:lang w:val="ru-RU" w:eastAsia="zh-CN" w:bidi="ar"/>
        </w:rPr>
        <w:t xml:space="preserve"> экономического развития, промышленности и предпринимательства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в соответствии с их компетенцией.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     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Функции Коллегиального органа, осуществляющего оценку эффективности организации и функционирования в администрации антимонопольного комплаенса осуществляет </w:t>
      </w:r>
      <w:r>
        <w:rPr>
          <w:color w:val="auto"/>
          <w:lang w:eastAsia="zh-CN" w:bidi="ar"/>
        </w:rPr>
        <w:t>Комисси</w:t>
      </w:r>
      <w:r>
        <w:rPr>
          <w:color w:val="auto"/>
          <w:lang w:val="ru-RU" w:eastAsia="zh-CN" w:bidi="ar"/>
        </w:rPr>
        <w:t>я</w:t>
      </w:r>
      <w:r>
        <w:rPr>
          <w:color w:val="auto"/>
          <w:lang w:eastAsia="zh-CN" w:bidi="ar"/>
        </w:rPr>
        <w:t xml:space="preserve"> по контролю за исполнением антимонопольного комплаенса деятельности администрации Богородского муниципального округа Нижегородской области</w:t>
      </w:r>
      <w:r>
        <w:rPr>
          <w:rFonts w:hint="default"/>
          <w:color w:val="auto"/>
          <w:lang w:val="ru-RU" w:eastAsia="zh-CN" w:bidi="ar"/>
        </w:rPr>
        <w:t>.</w:t>
      </w:r>
    </w:p>
    <w:p w14:paraId="482ED0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В целях обеспечения открытости и доступа к информации о системе внутреннего обеспечения деятельности администрации Богородского муниципального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в соответствии с требованиями антимонопольного законодательства на официальном сайте администрации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действует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раздел «Антимонопольный комплаенс»: </w:t>
      </w:r>
      <w:r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</w:rPr>
        <w:fldChar w:fldCharType="begin"/>
      </w:r>
      <w:r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</w:rPr>
        <w:instrText xml:space="preserve"> HYPERLINK "https://bogorodsk.nobl.ru/activity/9923/" </w:instrText>
      </w:r>
      <w:r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</w:rPr>
        <w:fldChar w:fldCharType="separate"/>
      </w:r>
      <w:r>
        <w:rPr>
          <w:rStyle w:val="4"/>
          <w:rFonts w:hint="default" w:ascii="Times New Roman" w:hAnsi="Times New Roman" w:eastAsia="Times New Roman"/>
          <w:i w:val="0"/>
          <w:caps w:val="0"/>
          <w:spacing w:val="0"/>
          <w:sz w:val="24"/>
          <w:szCs w:val="24"/>
          <w:vertAlign w:val="baseline"/>
        </w:rPr>
        <w:t>https://bogorodsk.nobl.ru/activity/9923/</w:t>
      </w:r>
      <w:r>
        <w:rPr>
          <w:rFonts w:hint="default" w:ascii="Times New Roman" w:hAnsi="Times New Roman" w:eastAsia="Times New Roman"/>
          <w:i w:val="0"/>
          <w:caps w:val="0"/>
          <w:color w:val="auto"/>
          <w:spacing w:val="0"/>
          <w:sz w:val="24"/>
          <w:szCs w:val="24"/>
          <w:vertAlign w:val="baseline"/>
        </w:rPr>
        <w:fldChar w:fldCharType="end"/>
      </w:r>
      <w:r>
        <w:rPr>
          <w:rFonts w:hint="default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.</w:t>
      </w:r>
    </w:p>
    <w:p w14:paraId="79CCDC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  <w:r>
        <w:rPr>
          <w:rFonts w:hint="default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 </w:t>
      </w:r>
      <w:r>
        <w:rPr>
          <w:rFonts w:hint="default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В разделе размещена информация о функционировании антимонопольного комплаенса, о нормативно-правовых актах в сфере антимонопольного комплаенса, планы мероприятий по реализации антимонопольного комплаенса.</w:t>
      </w:r>
    </w:p>
    <w:p w14:paraId="6B576B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</w:p>
    <w:p w14:paraId="4A1B3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910" w:firstLineChars="350"/>
        <w:jc w:val="center"/>
        <w:textAlignment w:val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II. Информация о проведении выявления и оценки рисков нарушения антимонопольного законодательства</w:t>
      </w:r>
    </w:p>
    <w:p w14:paraId="1EF66872">
      <w:pPr>
        <w:pStyle w:val="8"/>
        <w:spacing w:line="336" w:lineRule="auto"/>
        <w:ind w:left="0" w:leftChars="0" w:firstLine="840" w:firstLineChars="350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</w:pPr>
    </w:p>
    <w:p w14:paraId="6DEBC891">
      <w:pPr>
        <w:pStyle w:val="8"/>
        <w:spacing w:line="336" w:lineRule="auto"/>
        <w:ind w:left="0" w:leftChars="0" w:firstLine="840" w:firstLineChars="350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Выявление и оценка рисков нарушения антимонопольного комплаенса в администрации округа проводится на постоянной основе. </w:t>
      </w:r>
    </w:p>
    <w:p w14:paraId="27E5D478">
      <w:pPr>
        <w:pStyle w:val="8"/>
        <w:spacing w:line="336" w:lineRule="auto"/>
        <w:ind w:left="0" w:leftChars="0" w:firstLine="840" w:firstLineChars="350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В 2025 году по итогам анализа системы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антимонопольного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комплаенса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за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 202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4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год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   с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формирован Доклад </w:t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о систем</w:t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е</w:t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внутреннего обеспечения соответствия требованиям антимонопольного законодательства в администрации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Богородского муниципального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округа</w:t>
      </w:r>
      <w:r>
        <w:rPr>
          <w:rStyle w:val="5"/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. Постановлением от 28.01.2025 №233 у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твержден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ы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карта рисков нарушений антимонопольного законодательства (комплаенс-рисков)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, п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лан мероприятий («дорожная карта») по снижению рисков нарушения антимонопольного законодательства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 и ключевые показатели эффективности функционирования антимонопольного комплаенса.</w:t>
      </w:r>
    </w:p>
    <w:p w14:paraId="5327CDEA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В целях выявления и оценки рисков нарушения антимонопольного законодательства отделом муниципальных закупок проведен анализ нарушений антимонопольного законодательства за последние три года. По результатам анализа выявлено следующее. 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В 2023 году 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в Федеральный орган контроля в сфере закупок поступил</w:t>
      </w: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а одна жалоба, признанные Нижегородским УФАС необоснованной.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На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Заказчика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и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Единую комиссию по осуществлению закупок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(коллегиальный орган администрации) за данный период жалоб не поступало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.</w:t>
      </w:r>
    </w:p>
    <w:p w14:paraId="10F3A8EE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В 2024 году - одна жалоба на действия Единой комиссии по осуществлению закупок (коллегиальный орган администрации округа), которая также признана необоснованной.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На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Заказчика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и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Уполномоченный орган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за данный период жалоб не поступал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о.</w:t>
      </w:r>
    </w:p>
    <w:p w14:paraId="189CF5CF">
      <w:pPr>
        <w:keepNext w:val="0"/>
        <w:keepLines w:val="0"/>
        <w:widowControl/>
        <w:suppressLineNumbers w:val="0"/>
        <w:spacing w:line="360" w:lineRule="auto"/>
        <w:ind w:left="0" w:leftChars="0" w:firstLine="480" w:firstLineChars="2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TimesNewRomanPSMT" w:cs="Times New Roman"/>
          <w:b w:val="0"/>
          <w:bCs w:val="0"/>
          <w:color w:val="000000"/>
          <w:kern w:val="0"/>
          <w:sz w:val="24"/>
          <w:szCs w:val="24"/>
          <w:highlight w:val="none"/>
          <w:lang w:val="ru-RU" w:eastAsia="zh-CN" w:bidi="ar"/>
        </w:rPr>
        <w:t xml:space="preserve"> В отчетном году в Федеральный орган контроля поступили три жалобы на действия Единой комиссии по осуществлению закупок (коллегиальный орган администрации округа), две из которых признаны обоснованными, одна - необоснованной.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На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Заказчика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и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 New Roman-Bold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Уполномоченный орган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за данный период жалоб не поступа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ло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.</w:t>
      </w:r>
    </w:p>
    <w:p w14:paraId="68E1F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</w:pPr>
      <w:r>
        <w:rPr>
          <w:rFonts w:hint="default" w:eastAsia="TimesNewRomanPSMT" w:cs="Times New Roman"/>
          <w:color w:val="000000"/>
          <w:kern w:val="0"/>
          <w:sz w:val="24"/>
          <w:szCs w:val="24"/>
          <w:lang w:val="ru-RU" w:eastAsia="zh-CN" w:bidi="ar"/>
        </w:rPr>
        <w:t>За период с 2023 по 2025 годы о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>существлялся мониторинг и анализ практики применения антимонопольного законодательства, как на основании решений контролирующих органов на региональном и федеральном уровне, так и с учетом правовых позиций высших судов. Данная информация доводилась до заказчиков при выявлении нарушений на стадии проверки заявок на проведение закупок. По состоянию на 202</w:t>
      </w:r>
      <w:r>
        <w:rPr>
          <w:rFonts w:hint="default" w:eastAsia="TimesNewRomanPSMT" w:cs="Times New Roman"/>
          <w:color w:val="000000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TimesNewRomanPSMT" w:cs="Times New Roman"/>
          <w:color w:val="000000"/>
          <w:kern w:val="0"/>
          <w:sz w:val="24"/>
          <w:szCs w:val="24"/>
          <w:lang w:val="en-US" w:eastAsia="zh-CN" w:bidi="ar"/>
        </w:rPr>
        <w:t xml:space="preserve"> год мониторинг и анализ практики применения антимонопольного законодательства продолжается. </w:t>
      </w:r>
    </w:p>
    <w:p w14:paraId="0187A861">
      <w:pPr>
        <w:pStyle w:val="8"/>
        <w:spacing w:line="336" w:lineRule="auto"/>
        <w:ind w:left="0" w:leftChars="0" w:firstLine="676" w:firstLineChars="282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В целях выявления и оценки рисков нарушения антимонопольного законодательства проведен анализ нормативных правовых актов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на соответствие их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>антимонопольному законодательству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. В декабре 2025 года на сайте администрации (</w:t>
      </w:r>
      <w:r>
        <w:rPr>
          <w:rFonts w:hint="default" w:ascii="Times New Roman" w:hAnsi="Times New Roman" w:eastAsia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https://bogorodsk.nobl.ru/activity/25552/)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размещены: исчерпывающий перечень нормативных правовых актов; уведомление о начале сбора замечаний и предложений организаций и граждан по перечню; анкета для участников публичных консультаций. По итогам публичных консультаций составлен отчет, замечаний и предложений по перечню не поступало.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  <w:t xml:space="preserve"> </w:t>
      </w:r>
    </w:p>
    <w:p w14:paraId="3672E5EF">
      <w:pPr>
        <w:keepNext w:val="0"/>
        <w:keepLines w:val="0"/>
        <w:widowControl/>
        <w:suppressLineNumbers w:val="0"/>
        <w:spacing w:line="360" w:lineRule="auto"/>
        <w:ind w:left="0" w:leftChars="0" w:firstLine="516" w:firstLineChars="215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отношении выявления комплаенс – рисков, учета обстоятельств, связанных с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омплаенс – рисками, определения вероятности возникновения комплаенс – рисков работа проводилась постоянно.</w:t>
      </w:r>
    </w:p>
    <w:p w14:paraId="4ED5C6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 официальном сайте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разделе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Антимонопольный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комплаенс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- «Проекты нормативных правовых актов для обсуждения»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отчетном году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были размещены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17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проектов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нормативных правовых актов администрации округа для публичного обсуждения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амечаний и предложений со сто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роны организаций и граждан по опубликованным проектам не </w:t>
      </w:r>
      <w:r>
        <w:rPr>
          <w:rFonts w:ascii="Times New Roman" w:hAnsi="Times New Roman" w:cs="Times New Roman"/>
          <w:sz w:val="24"/>
          <w:szCs w:val="24"/>
        </w:rPr>
        <w:t>поступало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28FF8D1">
      <w:pPr>
        <w:pStyle w:val="8"/>
        <w:spacing w:line="336" w:lineRule="auto"/>
        <w:ind w:left="0" w:leftChars="0" w:firstLine="840" w:firstLineChars="35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Проводимые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правовым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управлением </w:t>
      </w:r>
      <w:r>
        <w:rPr>
          <w:rFonts w:ascii="Times New Roman" w:hAnsi="Times New Roman" w:cs="Times New Roman"/>
          <w:sz w:val="24"/>
          <w:szCs w:val="24"/>
          <w:highlight w:val="none"/>
        </w:rPr>
        <w:t>на постоянной основе правовая и антикоррупционная экспертизы нормативных правовых актов и проектов нормативных правовых актов направлены на выявление и исключение случаев нарушения положений актов законодательства Российской Федерации в части антимонопольного регулирования, а также выявление в них коррупциогенных факторов и их последующее устранение.</w:t>
      </w:r>
    </w:p>
    <w:p w14:paraId="765A6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2" w:firstLineChars="351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eastAsia="zh-CN" w:bidi="a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 правовой экспертизе проводи</w:t>
      </w:r>
      <w:r>
        <w:rPr>
          <w:rFonts w:cs="Times New Roman"/>
          <w:sz w:val="24"/>
          <w:szCs w:val="24"/>
          <w:highlight w:val="none"/>
          <w:lang w:val="ru-RU"/>
        </w:rPr>
        <w:t>лась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правовая оценка формы </w:t>
      </w:r>
      <w:r>
        <w:rPr>
          <w:rFonts w:cs="Times New Roman"/>
          <w:sz w:val="24"/>
          <w:szCs w:val="24"/>
          <w:highlight w:val="none"/>
          <w:lang w:val="ru-RU"/>
        </w:rPr>
        <w:t>нормативного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правового акта, его целей и задач, предмета правового регулирования, компетенции органа, принявшего правовой акт, содержащихся в нем норм, порядка принятия, обнародования (опубликования) на предмет соответствия требованиям Конституции Российской Федерации и федеральных законов, а также оценка соответствия правового акта требованиям юридической техники.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  <w:lang w:val="ru-RU"/>
        </w:rPr>
        <w:t xml:space="preserve">        </w:t>
      </w:r>
    </w:p>
    <w:p w14:paraId="39809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50"/>
        <w:jc w:val="both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Во взаимодействии с Богородской городской прокуратурой пров</w:t>
      </w:r>
      <w:r>
        <w:rPr>
          <w:sz w:val="24"/>
          <w:szCs w:val="24"/>
          <w:highlight w:val="none"/>
          <w:lang w:val="ru-RU"/>
        </w:rPr>
        <w:t>едена</w:t>
      </w:r>
      <w:r>
        <w:rPr>
          <w:sz w:val="24"/>
          <w:szCs w:val="24"/>
          <w:highlight w:val="none"/>
        </w:rPr>
        <w:t xml:space="preserve"> антикоррупционная экспертиза </w:t>
      </w:r>
      <w:r>
        <w:rPr>
          <w:rFonts w:hint="default"/>
          <w:sz w:val="24"/>
          <w:szCs w:val="24"/>
          <w:highlight w:val="none"/>
          <w:lang w:val="ru-RU"/>
        </w:rPr>
        <w:t xml:space="preserve">401 </w:t>
      </w:r>
      <w:r>
        <w:rPr>
          <w:sz w:val="24"/>
          <w:szCs w:val="24"/>
          <w:highlight w:val="none"/>
        </w:rPr>
        <w:t>проект</w:t>
      </w:r>
      <w:r>
        <w:rPr>
          <w:sz w:val="24"/>
          <w:szCs w:val="24"/>
          <w:highlight w:val="none"/>
          <w:lang w:val="ru-RU"/>
        </w:rPr>
        <w:t>а</w:t>
      </w:r>
      <w:r>
        <w:rPr>
          <w:sz w:val="24"/>
          <w:szCs w:val="24"/>
          <w:highlight w:val="none"/>
        </w:rPr>
        <w:t xml:space="preserve"> муниципальных правовых актов. </w:t>
      </w:r>
    </w:p>
    <w:p w14:paraId="7017C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       В течение года проводился анализ подготовки ответов на обращения физических и юридических лиц, осуществлялся внутренний контроль за предоставлением муниципальных услуг.</w:t>
      </w:r>
    </w:p>
    <w:p w14:paraId="078312C5">
      <w:pPr>
        <w:pStyle w:val="8"/>
        <w:spacing w:line="336" w:lineRule="auto"/>
        <w:ind w:left="0" w:leftChars="0" w:firstLine="840" w:firstLineChars="350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В целях оценки рисков нарушения антимонопольного законодательства (далее — комплаенс-рисков) структурными подразделениями администрации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округа (не наделенными правами юридического лица)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 xml:space="preserve"> проведен анализ факторов, событий и обстоятельств, которые влияют на совершение таких нарушений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, в частности,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осуществлялся внутренний контроль за предоставлением муниципальных услуг, подготовкой ответов на обращения физических и юридических лиц. </w:t>
      </w:r>
    </w:p>
    <w:p w14:paraId="4621D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50"/>
        <w:jc w:val="both"/>
        <w:textAlignment w:val="auto"/>
        <w:rPr>
          <w:rFonts w:hint="default" w:cs="Times New Roman"/>
          <w:color w:val="auto"/>
          <w:sz w:val="24"/>
          <w:szCs w:val="24"/>
          <w:lang w:val="ru-RU"/>
        </w:rPr>
      </w:pPr>
      <w:r>
        <w:rPr>
          <w:rFonts w:hint="default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  <w:lang w:val="ru-RU"/>
        </w:rPr>
        <w:t>В результате оценки выявлены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возможны</w:t>
      </w:r>
      <w:r>
        <w:rPr>
          <w:rFonts w:hint="default" w:cs="Times New Roman"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комплаенс-риски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, т.е. те потенциально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возможные события, обстоятельства и факторы, которые </w:t>
      </w:r>
      <w:r>
        <w:rPr>
          <w:rFonts w:cs="Times New Roman"/>
          <w:color w:val="auto"/>
          <w:sz w:val="24"/>
          <w:szCs w:val="24"/>
          <w:lang w:val="ru-RU"/>
        </w:rPr>
        <w:t>могли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бы по</w:t>
      </w:r>
      <w:r>
        <w:rPr>
          <w:rFonts w:ascii="Times New Roman" w:hAnsi="Times New Roman" w:cs="Times New Roman"/>
          <w:color w:val="auto"/>
          <w:sz w:val="24"/>
          <w:szCs w:val="24"/>
        </w:rPr>
        <w:t>влия</w:t>
      </w:r>
      <w:r>
        <w:rPr>
          <w:rFonts w:cs="Times New Roman"/>
          <w:color w:val="auto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 наступление такого неблагоприятного события, как нарушение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администрацией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антимонопольного законодательства</w:t>
      </w:r>
      <w:r>
        <w:rPr>
          <w:rFonts w:hint="default" w:cs="Times New Roman"/>
          <w:color w:val="auto"/>
          <w:sz w:val="24"/>
          <w:szCs w:val="24"/>
          <w:lang w:val="ru-RU"/>
        </w:rPr>
        <w:t>.</w:t>
      </w:r>
    </w:p>
    <w:p w14:paraId="6D3B5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cs="Times New Roman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>К ним были отнесены:</w:t>
      </w:r>
    </w:p>
    <w:p w14:paraId="1F87D5E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color w:val="auto"/>
          <w:sz w:val="24"/>
          <w:szCs w:val="24"/>
          <w:lang w:val="ru-RU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 xml:space="preserve"> Н</w:t>
      </w:r>
      <w:r>
        <w:rPr>
          <w:color w:val="auto"/>
          <w:sz w:val="24"/>
          <w:szCs w:val="24"/>
        </w:rPr>
        <w:t>арушения при проведении закупок товаров, работ, услуг для муниципальных нужд</w:t>
      </w:r>
      <w:r>
        <w:rPr>
          <w:rFonts w:hint="default"/>
          <w:color w:val="auto"/>
          <w:sz w:val="24"/>
          <w:szCs w:val="24"/>
          <w:lang w:val="ru-RU"/>
        </w:rPr>
        <w:t>,</w:t>
      </w:r>
      <w:r>
        <w:rPr>
          <w:color w:val="auto"/>
          <w:sz w:val="24"/>
          <w:szCs w:val="24"/>
        </w:rPr>
        <w:t xml:space="preserve"> нарушение порядка и сроков размещения </w:t>
      </w:r>
      <w:r>
        <w:rPr>
          <w:color w:val="auto"/>
          <w:sz w:val="24"/>
          <w:szCs w:val="24"/>
          <w:lang w:val="ru-RU"/>
        </w:rPr>
        <w:t>извещения</w:t>
      </w:r>
      <w:r>
        <w:rPr>
          <w:rFonts w:hint="default"/>
          <w:color w:val="auto"/>
          <w:sz w:val="24"/>
          <w:szCs w:val="24"/>
          <w:lang w:val="ru-RU"/>
        </w:rPr>
        <w:t xml:space="preserve"> конкурсных закупок.</w:t>
      </w:r>
    </w:p>
    <w:p w14:paraId="25DC96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color w:val="auto"/>
          <w:sz w:val="24"/>
          <w:szCs w:val="24"/>
          <w:lang w:val="ru-RU"/>
        </w:rPr>
        <w:t>Риск заключается в н</w:t>
      </w:r>
      <w:r>
        <w:rPr>
          <w:color w:val="auto"/>
          <w:sz w:val="24"/>
          <w:szCs w:val="24"/>
        </w:rPr>
        <w:t>екорректн</w:t>
      </w:r>
      <w:r>
        <w:rPr>
          <w:color w:val="auto"/>
          <w:sz w:val="24"/>
          <w:szCs w:val="24"/>
          <w:lang w:val="ru-RU"/>
        </w:rPr>
        <w:t>ом</w:t>
      </w:r>
      <w:r>
        <w:rPr>
          <w:color w:val="auto"/>
          <w:sz w:val="24"/>
          <w:szCs w:val="24"/>
        </w:rPr>
        <w:t xml:space="preserve"> выбор</w:t>
      </w:r>
      <w:r>
        <w:rPr>
          <w:color w:val="auto"/>
          <w:sz w:val="24"/>
          <w:szCs w:val="24"/>
          <w:lang w:val="ru-RU"/>
        </w:rPr>
        <w:t>е</w:t>
      </w:r>
      <w:r>
        <w:rPr>
          <w:color w:val="auto"/>
          <w:sz w:val="24"/>
          <w:szCs w:val="24"/>
        </w:rPr>
        <w:t xml:space="preserve"> способа определения поставщиков по срокам, цене, объему, особенностям объекта закупки, конкурентоспособности и специфики рынка поставщиков</w:t>
      </w:r>
      <w:r>
        <w:rPr>
          <w:rFonts w:hint="default"/>
          <w:color w:val="auto"/>
          <w:sz w:val="24"/>
          <w:szCs w:val="24"/>
          <w:lang w:val="ru-RU"/>
        </w:rPr>
        <w:t>, в у</w:t>
      </w:r>
      <w:r>
        <w:rPr>
          <w:rFonts w:hint="default" w:ascii="Times New Roman" w:hAnsi="Times New Roman" w:cs="Times New Roman"/>
          <w:sz w:val="24"/>
          <w:szCs w:val="24"/>
        </w:rPr>
        <w:t>тверждени</w:t>
      </w:r>
      <w:r>
        <w:rPr>
          <w:rFonts w:hint="default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извещения о закупке</w:t>
      </w:r>
      <w:r>
        <w:rPr>
          <w:rFonts w:hint="default" w:ascii="Times New Roman" w:hAnsi="Times New Roman" w:cs="Times New Roman"/>
          <w:sz w:val="24"/>
          <w:szCs w:val="24"/>
        </w:rPr>
        <w:t xml:space="preserve"> с нарушением требований к объекту закупки, влекущее за собой ограничение количества участников</w:t>
      </w:r>
      <w:r>
        <w:rPr>
          <w:rFonts w:hint="default" w:cs="Times New Roman"/>
          <w:sz w:val="24"/>
          <w:szCs w:val="24"/>
          <w:lang w:val="ru-RU"/>
        </w:rPr>
        <w:t>,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</w:t>
      </w:r>
      <w:r>
        <w:rPr>
          <w:sz w:val="24"/>
          <w:szCs w:val="24"/>
        </w:rPr>
        <w:t>арушени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порядка определения и обоснования начальной (максимальной) цены контракта, определения победителя </w:t>
      </w:r>
      <w:r>
        <w:rPr>
          <w:sz w:val="24"/>
          <w:szCs w:val="24"/>
          <w:lang w:val="ru-RU"/>
        </w:rPr>
        <w:t>закупки</w:t>
      </w:r>
      <w:r>
        <w:rPr>
          <w:rFonts w:hint="default"/>
          <w:sz w:val="24"/>
          <w:szCs w:val="24"/>
          <w:lang w:val="ru-RU"/>
        </w:rPr>
        <w:t>. Уровень риска на 1 января 2026 года определен как</w:t>
      </w:r>
      <w:r>
        <w:rPr>
          <w:rFonts w:hint="default"/>
          <w:sz w:val="24"/>
          <w:szCs w:val="24"/>
          <w:highlight w:val="none"/>
          <w:lang w:val="ru-RU"/>
        </w:rPr>
        <w:t xml:space="preserve"> низкий.</w:t>
      </w:r>
    </w:p>
    <w:p w14:paraId="70473F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</w:t>
      </w:r>
      <w:r>
        <w:rPr>
          <w:sz w:val="24"/>
          <w:szCs w:val="24"/>
        </w:rPr>
        <w:t>ринятие нормативных правовых актов и осуществление действий (бездействи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>), которые  могут привести к недопущению, ограничению, устранению конкуренции</w:t>
      </w:r>
      <w:r>
        <w:rPr>
          <w:rFonts w:hint="default"/>
          <w:sz w:val="24"/>
          <w:szCs w:val="24"/>
          <w:lang w:val="ru-RU"/>
        </w:rPr>
        <w:t>.</w:t>
      </w:r>
    </w:p>
    <w:p w14:paraId="2B0F6D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Риск</w:t>
      </w:r>
      <w:r>
        <w:rPr>
          <w:rFonts w:hint="default"/>
          <w:sz w:val="24"/>
          <w:szCs w:val="24"/>
          <w:lang w:val="ru-RU"/>
        </w:rPr>
        <w:t xml:space="preserve"> заключается в н</w:t>
      </w:r>
      <w:r>
        <w:rPr>
          <w:sz w:val="24"/>
          <w:szCs w:val="24"/>
        </w:rPr>
        <w:t>еобоснованно</w:t>
      </w:r>
      <w:r>
        <w:rPr>
          <w:sz w:val="24"/>
          <w:szCs w:val="24"/>
          <w:lang w:val="ru-RU"/>
        </w:rPr>
        <w:t>м</w:t>
      </w:r>
      <w:r>
        <w:rPr>
          <w:sz w:val="24"/>
          <w:szCs w:val="24"/>
        </w:rPr>
        <w:t xml:space="preserve"> препятствовани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осуществлению деятельности хозяйствующих субъектов</w:t>
      </w:r>
      <w:r>
        <w:rPr>
          <w:rFonts w:hint="default"/>
          <w:sz w:val="24"/>
          <w:szCs w:val="24"/>
          <w:lang w:val="ru-RU"/>
        </w:rPr>
        <w:t>, з</w:t>
      </w:r>
      <w:r>
        <w:rPr>
          <w:sz w:val="24"/>
          <w:szCs w:val="24"/>
        </w:rPr>
        <w:t>аключени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контрактов</w:t>
      </w:r>
      <w:r>
        <w:rPr>
          <w:sz w:val="24"/>
          <w:szCs w:val="24"/>
        </w:rPr>
        <w:t xml:space="preserve"> в приоритетном порядке</w:t>
      </w:r>
      <w:r>
        <w:rPr>
          <w:rFonts w:hint="default"/>
          <w:sz w:val="24"/>
          <w:szCs w:val="24"/>
          <w:lang w:val="ru-RU"/>
        </w:rPr>
        <w:t>, у</w:t>
      </w:r>
      <w:r>
        <w:rPr>
          <w:sz w:val="24"/>
          <w:szCs w:val="24"/>
        </w:rPr>
        <w:t>становлени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для приобретателей товаров, работ, услуг ограничений выбора хозяйствующих субъектов, которые их предоставляют</w:t>
      </w:r>
      <w:r>
        <w:rPr>
          <w:rFonts w:hint="default"/>
          <w:sz w:val="24"/>
          <w:szCs w:val="24"/>
          <w:lang w:val="ru-RU"/>
        </w:rPr>
        <w:t>, п</w:t>
      </w:r>
      <w:r>
        <w:rPr>
          <w:sz w:val="24"/>
          <w:szCs w:val="24"/>
        </w:rPr>
        <w:t>редоставлени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хозяйствующему субъекту доступа к информации в приоритетном порядке</w:t>
      </w:r>
      <w:r>
        <w:rPr>
          <w:rFonts w:hint="default"/>
          <w:sz w:val="24"/>
          <w:szCs w:val="24"/>
          <w:lang w:val="ru-RU"/>
        </w:rPr>
        <w:t>, с</w:t>
      </w:r>
      <w:r>
        <w:rPr>
          <w:sz w:val="24"/>
          <w:szCs w:val="24"/>
          <w:lang w:val="en-US"/>
        </w:rPr>
        <w:t>оздани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  <w:lang w:val="en-US"/>
        </w:rPr>
        <w:t xml:space="preserve"> дискриминационных условий</w:t>
      </w:r>
      <w:r>
        <w:rPr>
          <w:rFonts w:hint="default"/>
          <w:sz w:val="24"/>
          <w:szCs w:val="24"/>
          <w:lang w:val="ru-RU"/>
        </w:rPr>
        <w:t>, указании</w:t>
      </w:r>
      <w:r>
        <w:rPr>
          <w:sz w:val="24"/>
          <w:szCs w:val="24"/>
        </w:rPr>
        <w:t xml:space="preserve"> хозяйствующим субъектам о приобретении товара, работ и услуг, за исключением случаев, предусмотренных законодательством РФ.</w:t>
      </w:r>
      <w:r>
        <w:rPr>
          <w:rFonts w:hint="default"/>
          <w:sz w:val="24"/>
          <w:szCs w:val="24"/>
          <w:lang w:val="ru-RU"/>
        </w:rPr>
        <w:t xml:space="preserve">  Уровень риска на 1 января 2026 года определен как незначительный.</w:t>
      </w:r>
    </w:p>
    <w:p w14:paraId="747DCCC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</w:t>
      </w:r>
      <w:r>
        <w:rPr>
          <w:sz w:val="24"/>
          <w:szCs w:val="24"/>
        </w:rPr>
        <w:t>арушение срока и порядка оказания муниципальных услуг, затягивание (препятствие) процедуры предоставления муниципальной услуги</w:t>
      </w:r>
      <w:r>
        <w:rPr>
          <w:rFonts w:hint="default"/>
          <w:sz w:val="24"/>
          <w:szCs w:val="24"/>
          <w:lang w:val="ru-RU"/>
        </w:rPr>
        <w:t>. Риск заключается в н</w:t>
      </w:r>
      <w:r>
        <w:rPr>
          <w:sz w:val="24"/>
          <w:szCs w:val="24"/>
        </w:rPr>
        <w:t>едостаточн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уров</w:t>
      </w:r>
      <w:r>
        <w:rPr>
          <w:sz w:val="24"/>
          <w:szCs w:val="24"/>
          <w:lang w:val="ru-RU"/>
        </w:rPr>
        <w:t>не</w:t>
      </w:r>
      <w:r>
        <w:rPr>
          <w:sz w:val="24"/>
          <w:szCs w:val="24"/>
        </w:rPr>
        <w:t xml:space="preserve"> внутреннего контроля за предоставлением муниципальных услуг</w:t>
      </w:r>
      <w:r>
        <w:rPr>
          <w:rFonts w:hint="default"/>
          <w:sz w:val="24"/>
          <w:szCs w:val="24"/>
          <w:lang w:val="ru-RU"/>
        </w:rPr>
        <w:t>, возникновения конфликта интересов, 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редоставление преимуществ отдельным хозяйствующим субъектам</w:t>
      </w:r>
      <w:r>
        <w:rPr>
          <w:rFonts w:hint="default"/>
          <w:sz w:val="24"/>
          <w:szCs w:val="24"/>
          <w:lang w:val="ru-RU"/>
        </w:rPr>
        <w:t xml:space="preserve">. Уровень риска на 1 января 2026 года определен как незначительный. </w:t>
      </w:r>
    </w:p>
    <w:p w14:paraId="1369906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П</w:t>
      </w:r>
      <w:r>
        <w:rPr>
          <w:sz w:val="24"/>
          <w:szCs w:val="24"/>
        </w:rPr>
        <w:t>одготовка ответов на обращения физических и юридических лиц с нарушением сроков</w:t>
      </w:r>
      <w:r>
        <w:rPr>
          <w:rFonts w:hint="default"/>
          <w:sz w:val="24"/>
          <w:szCs w:val="24"/>
          <w:lang w:val="ru-RU"/>
        </w:rPr>
        <w:t>.</w:t>
      </w:r>
    </w:p>
    <w:p w14:paraId="0A4C2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Риск заключается в н</w:t>
      </w:r>
      <w:r>
        <w:rPr>
          <w:sz w:val="24"/>
          <w:szCs w:val="24"/>
        </w:rPr>
        <w:t>едостаточн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  <w:lang w:val="en-US"/>
        </w:rPr>
        <w:t xml:space="preserve"> уров</w:t>
      </w:r>
      <w:r>
        <w:rPr>
          <w:sz w:val="24"/>
          <w:szCs w:val="24"/>
          <w:lang w:val="ru-RU"/>
        </w:rPr>
        <w:t>не</w:t>
      </w:r>
      <w:r>
        <w:rPr>
          <w:sz w:val="24"/>
          <w:szCs w:val="24"/>
          <w:lang w:val="en-US"/>
        </w:rPr>
        <w:t xml:space="preserve"> внутреннего контроля</w:t>
      </w:r>
      <w:r>
        <w:rPr>
          <w:rFonts w:hint="default"/>
          <w:sz w:val="24"/>
          <w:szCs w:val="24"/>
          <w:lang w:val="ru-RU"/>
        </w:rPr>
        <w:t>, высокой загруженности сотрудников администрации округа. Уровень риска на 1 января 2026 года определен как незначительный.</w:t>
      </w:r>
    </w:p>
    <w:p w14:paraId="7BFB63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целях недопущения рисков нарушения антимонопольного законодательства администрацией округа в 2026 году будут проводиться следующие мероприятия по минимизации и устранению возможных рисков:</w:t>
      </w:r>
    </w:p>
    <w:p w14:paraId="56345E3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с</w:t>
      </w:r>
      <w:r>
        <w:rPr>
          <w:sz w:val="24"/>
          <w:szCs w:val="24"/>
        </w:rPr>
        <w:t>истематическое повышение квалификации сотрудников</w:t>
      </w:r>
      <w:r>
        <w:rPr>
          <w:rFonts w:hint="default"/>
          <w:sz w:val="24"/>
          <w:szCs w:val="24"/>
          <w:lang w:val="ru-RU"/>
        </w:rPr>
        <w:t>,</w:t>
      </w:r>
    </w:p>
    <w:p w14:paraId="3B65F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- п</w:t>
      </w:r>
      <w:r>
        <w:rPr>
          <w:sz w:val="24"/>
          <w:szCs w:val="24"/>
        </w:rPr>
        <w:t>равовая экспертиза конкурсной и аукционной документации, документации о запросе котировок</w:t>
      </w:r>
      <w:r>
        <w:rPr>
          <w:rFonts w:hint="default"/>
          <w:sz w:val="24"/>
          <w:szCs w:val="24"/>
          <w:lang w:val="ru-RU"/>
        </w:rPr>
        <w:t>,</w:t>
      </w:r>
    </w:p>
    <w:p w14:paraId="3B266E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- правовая экспертиза и а</w:t>
      </w:r>
      <w:r>
        <w:rPr>
          <w:sz w:val="24"/>
          <w:szCs w:val="24"/>
        </w:rPr>
        <w:t>нализ нормативных правовых актов</w:t>
      </w:r>
      <w:r>
        <w:rPr>
          <w:rFonts w:hint="default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и проектов нормативных правовых актов, при необходимости инициирование внесения в них изменений</w:t>
      </w:r>
      <w:r>
        <w:rPr>
          <w:rFonts w:hint="default"/>
          <w:sz w:val="24"/>
          <w:szCs w:val="24"/>
          <w:lang w:val="ru-RU"/>
        </w:rPr>
        <w:t>,</w:t>
      </w:r>
    </w:p>
    <w:p w14:paraId="756138D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- а</w:t>
      </w:r>
      <w:r>
        <w:rPr>
          <w:sz w:val="24"/>
          <w:szCs w:val="24"/>
        </w:rPr>
        <w:t>нализ выявленных нарушений антимонопольного законодательства</w:t>
      </w:r>
      <w:r>
        <w:rPr>
          <w:rFonts w:hint="default"/>
          <w:sz w:val="24"/>
          <w:szCs w:val="24"/>
          <w:lang w:val="ru-RU"/>
        </w:rPr>
        <w:t>,</w:t>
      </w:r>
    </w:p>
    <w:p w14:paraId="2BDEED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- с</w:t>
      </w:r>
      <w:r>
        <w:rPr>
          <w:sz w:val="24"/>
          <w:szCs w:val="24"/>
        </w:rPr>
        <w:t>овершенствование системы контроля за соблюдением действующего антимонопольного законодательства</w:t>
      </w:r>
      <w:r>
        <w:rPr>
          <w:rFonts w:hint="default"/>
          <w:sz w:val="24"/>
          <w:szCs w:val="24"/>
          <w:lang w:val="ru-RU"/>
        </w:rPr>
        <w:t>,</w:t>
      </w:r>
    </w:p>
    <w:p w14:paraId="49FB2D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>контрол</w:t>
      </w:r>
      <w:r>
        <w:rPr>
          <w:sz w:val="24"/>
          <w:szCs w:val="24"/>
          <w:lang w:val="ru-RU"/>
        </w:rPr>
        <w:t>ь</w:t>
      </w:r>
      <w:r>
        <w:rPr>
          <w:sz w:val="24"/>
          <w:szCs w:val="24"/>
        </w:rPr>
        <w:t xml:space="preserve"> за сроками и порядком оказания муниципальных услуг, за сроками рассмотрения обращений физических и юридических лиц.</w:t>
      </w:r>
    </w:p>
    <w:p w14:paraId="7B06B11C">
      <w:pPr>
        <w:spacing w:line="336" w:lineRule="auto"/>
        <w:jc w:val="center"/>
        <w:rPr>
          <w:b/>
          <w:sz w:val="24"/>
          <w:szCs w:val="24"/>
        </w:rPr>
      </w:pPr>
    </w:p>
    <w:p w14:paraId="4EA5023B">
      <w:pPr>
        <w:spacing w:line="33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III. Сведения об исполнении мероприятий по снижению рисков </w:t>
      </w:r>
    </w:p>
    <w:p w14:paraId="3BE24937">
      <w:pPr>
        <w:spacing w:line="336" w:lineRule="auto"/>
        <w:jc w:val="center"/>
        <w:rPr>
          <w:b/>
        </w:rPr>
      </w:pPr>
      <w:r>
        <w:rPr>
          <w:b/>
          <w:sz w:val="26"/>
          <w:szCs w:val="26"/>
        </w:rPr>
        <w:t>нарушения антимонопольного законодательства</w:t>
      </w:r>
    </w:p>
    <w:p w14:paraId="7ECC7D45">
      <w:pPr>
        <w:pStyle w:val="8"/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79215F">
      <w:pPr>
        <w:pStyle w:val="8"/>
        <w:spacing w:line="336" w:lineRule="auto"/>
        <w:ind w:left="0" w:leftChars="0" w:firstLine="720" w:firstLineChars="300"/>
        <w:jc w:val="both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 xml:space="preserve">В целях снижения рисков нарушения антимонопольного законодательства  структурными подразделениями в течении 2025 года 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пров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  <w:lang w:val="ru-RU"/>
        </w:rPr>
        <w:t>одились</w:t>
      </w:r>
      <w:r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vertAlign w:val="baseline"/>
        </w:rPr>
        <w:t>:</w:t>
      </w:r>
    </w:p>
    <w:p w14:paraId="39163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 xml:space="preserve">а) анализ выявленных нарушений антимонопольного законодательства в деятельности администрации; </w:t>
      </w:r>
    </w:p>
    <w:p w14:paraId="36D1D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 xml:space="preserve">б) анализ нормативных правовых актов администрации округа; </w:t>
      </w:r>
    </w:p>
    <w:p w14:paraId="649A7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>в) анализ проектов нормативных правовых актов администрации округа;</w:t>
      </w:r>
    </w:p>
    <w:p w14:paraId="76A6CA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 xml:space="preserve">г) мониторинг и анализ практики применения антимонопольного законодательства; </w:t>
      </w:r>
    </w:p>
    <w:p w14:paraId="07404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8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 xml:space="preserve">д)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zh-CN" w:bidi="ar"/>
        </w:rPr>
        <w:t>оц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>енк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zh-CN" w:bidi="ar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 w:bidi="ar"/>
        </w:rPr>
        <w:t xml:space="preserve"> эффективности разработанных и реализуемых мероприятий по снижению рисков нарушения антимонопольного законодательства.</w:t>
      </w:r>
    </w:p>
    <w:p w14:paraId="6DA45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Times New Roman" w:cs="Times New Roman"/>
          <w:i w:val="0"/>
          <w:caps w:val="0"/>
          <w:color w:val="auto"/>
          <w:spacing w:val="0"/>
          <w:sz w:val="24"/>
          <w:szCs w:val="24"/>
          <w:highlight w:val="none"/>
          <w:vertAlign w:val="baseline"/>
        </w:rPr>
      </w:pPr>
    </w:p>
    <w:p w14:paraId="2489F0CD">
      <w:pPr>
        <w:spacing w:line="336" w:lineRule="auto"/>
        <w:ind w:firstLine="709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V</w:t>
      </w:r>
      <w:r>
        <w:rPr>
          <w:b/>
        </w:rPr>
        <w:t>. О достижении ключевых показателей эффективности антимонопольного комплаенса</w:t>
      </w:r>
    </w:p>
    <w:p w14:paraId="10E17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</w:p>
    <w:p w14:paraId="4CC323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 xml:space="preserve">Оценка эффективности функционирования антимонопольного комплаенса и расчет показателей эффективности антимонопольного комплаенса производится в соответствии с Методикой расчета ключевых показателей эффективности функционирования, утвержденной постановлением администрации Богородского муниципального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>округа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 xml:space="preserve"> от 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>10.02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>.202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>1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 xml:space="preserve"> №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>240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>.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br w:type="textWrapping"/>
      </w:r>
      <w:r>
        <w:rPr>
          <w:rFonts w:hint="default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 xml:space="preserve">     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>Ключевыми показателями эффективности антимонопольного комплаенса являются: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br w:type="textWrapping"/>
      </w:r>
      <w:r>
        <w:rPr>
          <w:rFonts w:hint="default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Коэффициент снижения количества нарушений антимонопольного законодательства со стороны администрации Богородского муниципального округа Нижегородской области по сравнению с годом, предшествующим отчетному году. </w:t>
      </w:r>
    </w:p>
    <w:p w14:paraId="760C7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Доля проектов нормативных правовых актов администрации округа, в которых выявлены риски нарушения антимонопольного законодательства.</w:t>
      </w:r>
    </w:p>
    <w:p w14:paraId="24912F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Доля нормативных правовых актов администрации округа, в которых выявлены риски нарушения антимонопольного законодательства. </w:t>
      </w:r>
    </w:p>
    <w:p w14:paraId="5CC0008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- Доля сотрудников администрации округа, в отношении которых были проведены обучающие мероприятия по антимонопольному законодательству и антимонопольному комплаенсу.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>Количество нарушений антимонопольного законодательства со стороны администрации в 20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>25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 xml:space="preserve"> г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оду равно нулю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  <w:lang w:val="ru-RU"/>
        </w:rPr>
        <w:t>.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  <w:lang w:val="ru-RU"/>
        </w:rPr>
        <w:t xml:space="preserve">    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Количество проектов нормативных правовых актов администрации, в которых выявлены риски нарушения антимонопольного законодательства, равно нулю.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highlight w:val="none"/>
          <w:vertAlign w:val="baseline"/>
        </w:rPr>
        <w:t>Количество нормативных правовых актов администрации, в которых выявлены риски нарушения антимонопольного законодательства, равно нулю.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 xml:space="preserve">     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t>Сотрудники администрации на постоянной основе изучают нормативные правовые акты, обучающие материалы и изменения в действующем антимонопольном законодательстве.</w:t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</w:rPr>
        <w:br w:type="textWrapping"/>
      </w:r>
      <w:r>
        <w:rPr>
          <w:rFonts w:hint="default" w:ascii="Times New Roman" w:hAnsi="Times New Roman" w:eastAsia="Times New Roman" w:cs="Times New Roman"/>
          <w:i w:val="0"/>
          <w:caps w:val="0"/>
          <w:color w:val="333333"/>
          <w:spacing w:val="0"/>
          <w:sz w:val="24"/>
          <w:szCs w:val="24"/>
          <w:vertAlign w:val="baseline"/>
          <w:lang w:val="ru-RU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Проведенная оценка рисков нарушения антимонопольного законодательства в 2025 году свидетельствует об эффективном функционировании в администрации Богородского муниципального округа антимонопольного комплаенса. Администрацией Богородского муниципального округа утверждена карта комплаенс-рисков нарушения антимонопольного законодательства, план мероприятий по снижению рисков нарушения антимонопольного законодательства и ключевые показатели эффективности функционирования антимонопольного законодательства на 2026 год.</w:t>
      </w:r>
    </w:p>
    <w:p w14:paraId="63AAA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sz w:val="24"/>
          <w:szCs w:val="24"/>
        </w:rPr>
      </w:pPr>
    </w:p>
    <w:sectPr>
      <w:pgSz w:w="11906" w:h="16838"/>
      <w:pgMar w:top="1100" w:right="782" w:bottom="1100" w:left="1123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70BB1"/>
    <w:multiLevelType w:val="singleLevel"/>
    <w:tmpl w:val="70E70B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726E"/>
    <w:rsid w:val="01135AB4"/>
    <w:rsid w:val="01210579"/>
    <w:rsid w:val="02075C7B"/>
    <w:rsid w:val="0213143C"/>
    <w:rsid w:val="05267018"/>
    <w:rsid w:val="052E04DC"/>
    <w:rsid w:val="06185DF8"/>
    <w:rsid w:val="06E01E31"/>
    <w:rsid w:val="06E81AB0"/>
    <w:rsid w:val="08044D63"/>
    <w:rsid w:val="084F6667"/>
    <w:rsid w:val="08C77910"/>
    <w:rsid w:val="092312FB"/>
    <w:rsid w:val="09254089"/>
    <w:rsid w:val="09615EC3"/>
    <w:rsid w:val="0A781FD2"/>
    <w:rsid w:val="0C106170"/>
    <w:rsid w:val="0D503B7B"/>
    <w:rsid w:val="10917DBA"/>
    <w:rsid w:val="10EB77DD"/>
    <w:rsid w:val="111B4B2D"/>
    <w:rsid w:val="11A008ED"/>
    <w:rsid w:val="11C975C7"/>
    <w:rsid w:val="12E057CE"/>
    <w:rsid w:val="151926FA"/>
    <w:rsid w:val="16A10E17"/>
    <w:rsid w:val="1717210B"/>
    <w:rsid w:val="1B07458C"/>
    <w:rsid w:val="1B090874"/>
    <w:rsid w:val="1C7D4D92"/>
    <w:rsid w:val="1C9915F7"/>
    <w:rsid w:val="1DFE6805"/>
    <w:rsid w:val="1E240D79"/>
    <w:rsid w:val="1F387702"/>
    <w:rsid w:val="1F606D6C"/>
    <w:rsid w:val="206D01A6"/>
    <w:rsid w:val="20EA100B"/>
    <w:rsid w:val="22384717"/>
    <w:rsid w:val="226E7074"/>
    <w:rsid w:val="22DC6878"/>
    <w:rsid w:val="23C23A16"/>
    <w:rsid w:val="250E5AEA"/>
    <w:rsid w:val="25406A0C"/>
    <w:rsid w:val="25603C90"/>
    <w:rsid w:val="25AC4BCA"/>
    <w:rsid w:val="262041DD"/>
    <w:rsid w:val="2755284E"/>
    <w:rsid w:val="28E062BC"/>
    <w:rsid w:val="29B67CB6"/>
    <w:rsid w:val="29EB2D13"/>
    <w:rsid w:val="2DFC408B"/>
    <w:rsid w:val="2E685BBF"/>
    <w:rsid w:val="2E842DC0"/>
    <w:rsid w:val="30CC2B94"/>
    <w:rsid w:val="315C1137"/>
    <w:rsid w:val="33FF0A5C"/>
    <w:rsid w:val="35527607"/>
    <w:rsid w:val="35A75187"/>
    <w:rsid w:val="36570028"/>
    <w:rsid w:val="37024CD3"/>
    <w:rsid w:val="37E526AA"/>
    <w:rsid w:val="380D2F33"/>
    <w:rsid w:val="380E3607"/>
    <w:rsid w:val="383E49AC"/>
    <w:rsid w:val="39DE23B3"/>
    <w:rsid w:val="3A0A4B6A"/>
    <w:rsid w:val="3A3E4EC8"/>
    <w:rsid w:val="3A712B8B"/>
    <w:rsid w:val="3AB670C9"/>
    <w:rsid w:val="3B015B8D"/>
    <w:rsid w:val="3C4919B1"/>
    <w:rsid w:val="3C531930"/>
    <w:rsid w:val="3DC15128"/>
    <w:rsid w:val="3EB64A12"/>
    <w:rsid w:val="3F813670"/>
    <w:rsid w:val="4088075A"/>
    <w:rsid w:val="40CC0B9C"/>
    <w:rsid w:val="40EA5F0E"/>
    <w:rsid w:val="419D3F33"/>
    <w:rsid w:val="42111A37"/>
    <w:rsid w:val="43870447"/>
    <w:rsid w:val="45067246"/>
    <w:rsid w:val="45570BB1"/>
    <w:rsid w:val="45AE500A"/>
    <w:rsid w:val="474A29C3"/>
    <w:rsid w:val="47F331F9"/>
    <w:rsid w:val="488C69B3"/>
    <w:rsid w:val="48A164FC"/>
    <w:rsid w:val="491935E3"/>
    <w:rsid w:val="491E5E67"/>
    <w:rsid w:val="4974175E"/>
    <w:rsid w:val="4A086152"/>
    <w:rsid w:val="4A1D31BF"/>
    <w:rsid w:val="4A7D7A6C"/>
    <w:rsid w:val="4AE378C0"/>
    <w:rsid w:val="4AF46136"/>
    <w:rsid w:val="4C4F53FB"/>
    <w:rsid w:val="4C560BDE"/>
    <w:rsid w:val="4D3C4E80"/>
    <w:rsid w:val="4D6101D3"/>
    <w:rsid w:val="4D611582"/>
    <w:rsid w:val="4E015541"/>
    <w:rsid w:val="4E15571D"/>
    <w:rsid w:val="4E9D283B"/>
    <w:rsid w:val="4FC8611B"/>
    <w:rsid w:val="502D7779"/>
    <w:rsid w:val="50810DC1"/>
    <w:rsid w:val="509B3C56"/>
    <w:rsid w:val="50ED40B0"/>
    <w:rsid w:val="53313829"/>
    <w:rsid w:val="547B4F95"/>
    <w:rsid w:val="55174CF5"/>
    <w:rsid w:val="5536178E"/>
    <w:rsid w:val="55E52764"/>
    <w:rsid w:val="5700385B"/>
    <w:rsid w:val="576F407A"/>
    <w:rsid w:val="580079A7"/>
    <w:rsid w:val="59220762"/>
    <w:rsid w:val="5AC96F4B"/>
    <w:rsid w:val="5C01070C"/>
    <w:rsid w:val="5D84452A"/>
    <w:rsid w:val="5DB54678"/>
    <w:rsid w:val="5DC557FE"/>
    <w:rsid w:val="5F671791"/>
    <w:rsid w:val="613A1E1B"/>
    <w:rsid w:val="621C3E09"/>
    <w:rsid w:val="62D2035D"/>
    <w:rsid w:val="63187BD6"/>
    <w:rsid w:val="637C31C3"/>
    <w:rsid w:val="64BE7A4F"/>
    <w:rsid w:val="66462F34"/>
    <w:rsid w:val="67B64991"/>
    <w:rsid w:val="6BD674C6"/>
    <w:rsid w:val="6D546F7E"/>
    <w:rsid w:val="7071726E"/>
    <w:rsid w:val="71051615"/>
    <w:rsid w:val="71544297"/>
    <w:rsid w:val="718D46C0"/>
    <w:rsid w:val="72820809"/>
    <w:rsid w:val="74884620"/>
    <w:rsid w:val="749D7A56"/>
    <w:rsid w:val="75E44E49"/>
    <w:rsid w:val="76FD3625"/>
    <w:rsid w:val="780F516A"/>
    <w:rsid w:val="786B2F35"/>
    <w:rsid w:val="797D51AB"/>
    <w:rsid w:val="7B0819BB"/>
    <w:rsid w:val="7DD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List Paragraph"/>
    <w:basedOn w:val="1"/>
    <w:qFormat/>
    <w:uiPriority w:val="0"/>
    <w:pPr>
      <w:autoSpaceDE/>
      <w:ind w:left="720" w:right="0" w:firstLine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2022-01-31T10:12:00Z</dcterms:created>
  <dc:creator>Lopatnikova</dc:creator>
  <cp:lastModifiedBy>Дарья</cp:lastModifiedBy>
  <cp:lastPrinted>2026-01-29T07:36:00Z</cp:lastPrinted>
  <dcterms:modified xsi:type="dcterms:W3CDTF">2026-02-05T06:56:58Z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6CB0A85FF0D048EFAE46200105AA3EA3_13</vt:lpwstr>
  </property>
</Properties>
</file>